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8D" w:rsidRPr="003F1F8D" w:rsidRDefault="003F1F8D" w:rsidP="003F1F8D">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bookmarkEnd w:id="0"/>
      <w:r w:rsidRPr="003F1F8D">
        <w:rPr>
          <w:rFonts w:ascii="Times New Roman" w:eastAsia="Times New Roman" w:hAnsi="Times New Roman" w:cs="Times New Roman"/>
          <w:b/>
          <w:bCs/>
          <w:sz w:val="36"/>
          <w:szCs w:val="36"/>
          <w:lang w:val="en"/>
        </w:rPr>
        <w:t>WRDS 508 Compliance Statement</w:t>
      </w:r>
    </w:p>
    <w:p w:rsidR="003F1F8D" w:rsidRPr="003F1F8D" w:rsidRDefault="003F1F8D" w:rsidP="003F1F8D">
      <w:pPr>
        <w:spacing w:after="240" w:line="240" w:lineRule="auto"/>
        <w:rPr>
          <w:rFonts w:ascii="Times New Roman" w:eastAsia="Times New Roman" w:hAnsi="Times New Roman" w:cs="Times New Roman"/>
          <w:sz w:val="24"/>
          <w:szCs w:val="24"/>
          <w:lang w:val="en"/>
        </w:rPr>
      </w:pPr>
      <w:r w:rsidRPr="003F1F8D">
        <w:rPr>
          <w:rFonts w:ascii="Times New Roman" w:eastAsia="Times New Roman" w:hAnsi="Times New Roman" w:cs="Times New Roman"/>
          <w:sz w:val="24"/>
          <w:szCs w:val="24"/>
          <w:lang w:val="en"/>
        </w:rPr>
        <w:br/>
        <w:t xml:space="preserve">Section 508 of the Rehabilitation Act of 1973, as amended by Congress in the Workforce Investment Act of 1998, requires that electronic and information technology used by Federal agencies be accessible to people with disabilities. </w:t>
      </w:r>
    </w:p>
    <w:p w:rsidR="003F1F8D" w:rsidRPr="003F1F8D" w:rsidRDefault="003F1F8D" w:rsidP="003F1F8D">
      <w:pPr>
        <w:spacing w:before="100" w:beforeAutospacing="1" w:after="100" w:afterAutospacing="1" w:line="240" w:lineRule="auto"/>
        <w:rPr>
          <w:rFonts w:ascii="Times New Roman" w:eastAsia="Times New Roman" w:hAnsi="Times New Roman" w:cs="Times New Roman"/>
          <w:sz w:val="24"/>
          <w:szCs w:val="24"/>
          <w:lang w:val="en"/>
        </w:rPr>
      </w:pPr>
      <w:r w:rsidRPr="003F1F8D">
        <w:rPr>
          <w:rFonts w:ascii="Times New Roman" w:eastAsia="Times New Roman" w:hAnsi="Times New Roman" w:cs="Times New Roman"/>
          <w:sz w:val="24"/>
          <w:szCs w:val="24"/>
          <w:lang w:val="en"/>
        </w:rPr>
        <w:t>Wharton Research Data Services (WRDS) is covered under section 1194.22 (Web-based internet information and applications) of Section 508 and supports, with some exceptions, the guidelines set forth in Section 508. This page provides information about WRDS’ compliance, including a complete Voluntary Product Accessibility Template (VPAT) documenting compliance.</w:t>
      </w:r>
    </w:p>
    <w:p w:rsidR="003F1F8D" w:rsidRPr="003F1F8D" w:rsidRDefault="003F1F8D" w:rsidP="003F1F8D">
      <w:pPr>
        <w:spacing w:before="100" w:beforeAutospacing="1" w:after="100" w:afterAutospacing="1" w:line="240" w:lineRule="auto"/>
        <w:rPr>
          <w:rFonts w:ascii="Times New Roman" w:eastAsia="Times New Roman" w:hAnsi="Times New Roman" w:cs="Times New Roman"/>
          <w:sz w:val="24"/>
          <w:szCs w:val="24"/>
          <w:lang w:val="en"/>
        </w:rPr>
      </w:pPr>
      <w:r w:rsidRPr="003F1F8D">
        <w:rPr>
          <w:rFonts w:ascii="Times New Roman" w:eastAsia="Times New Roman" w:hAnsi="Times New Roman" w:cs="Times New Roman"/>
          <w:sz w:val="24"/>
          <w:szCs w:val="24"/>
          <w:lang w:val="en"/>
        </w:rPr>
        <w:t>WRDS is committed to providing access to our web pages for individuals with disabilities.</w:t>
      </w:r>
    </w:p>
    <w:p w:rsidR="003F1F8D" w:rsidRPr="003F1F8D" w:rsidRDefault="003F1F8D" w:rsidP="003F1F8D">
      <w:pPr>
        <w:spacing w:before="100" w:beforeAutospacing="1" w:after="100" w:afterAutospacing="1" w:line="240" w:lineRule="auto"/>
        <w:rPr>
          <w:rFonts w:ascii="Times New Roman" w:eastAsia="Times New Roman" w:hAnsi="Times New Roman" w:cs="Times New Roman"/>
          <w:sz w:val="24"/>
          <w:szCs w:val="24"/>
          <w:lang w:val="en"/>
        </w:rPr>
      </w:pPr>
      <w:r w:rsidRPr="003F1F8D">
        <w:rPr>
          <w:rFonts w:ascii="Times New Roman" w:eastAsia="Times New Roman" w:hAnsi="Times New Roman" w:cs="Times New Roman"/>
          <w:sz w:val="24"/>
          <w:szCs w:val="24"/>
          <w:lang w:val="en"/>
        </w:rPr>
        <w:t>To meet this commitment, we will comply with the requirements of Section 508 of the Rehabilitation Act. Section 508 requires that individuals with disabilities have access to and use of information and data that is comparable to that provided to the public who are not individuals with disabilities, unless an undue burden would be imposed on us.</w:t>
      </w:r>
    </w:p>
    <w:p w:rsidR="003F1F8D" w:rsidRPr="003F1F8D" w:rsidRDefault="003F1F8D" w:rsidP="003F1F8D">
      <w:pPr>
        <w:spacing w:before="100" w:beforeAutospacing="1" w:after="100" w:afterAutospacing="1" w:line="240" w:lineRule="auto"/>
        <w:rPr>
          <w:rFonts w:ascii="Times New Roman" w:eastAsia="Times New Roman" w:hAnsi="Times New Roman" w:cs="Times New Roman"/>
          <w:sz w:val="24"/>
          <w:szCs w:val="24"/>
          <w:lang w:val="en"/>
        </w:rPr>
      </w:pPr>
      <w:r w:rsidRPr="003F1F8D">
        <w:rPr>
          <w:rFonts w:ascii="Times New Roman" w:eastAsia="Times New Roman" w:hAnsi="Times New Roman" w:cs="Times New Roman"/>
          <w:sz w:val="24"/>
          <w:szCs w:val="24"/>
          <w:lang w:val="en"/>
        </w:rPr>
        <w:t xml:space="preserve">If you use assistive technology and the format of any material on our web site interferes with your ability to access the information, please contact </w:t>
      </w:r>
      <w:hyperlink r:id="rId6" w:history="1">
        <w:r w:rsidRPr="003F1F8D">
          <w:rPr>
            <w:rFonts w:ascii="Times New Roman" w:eastAsia="Times New Roman" w:hAnsi="Times New Roman" w:cs="Times New Roman"/>
            <w:color w:val="0000FF"/>
            <w:sz w:val="24"/>
            <w:szCs w:val="24"/>
            <w:u w:val="single"/>
            <w:lang w:val="en"/>
          </w:rPr>
          <w:t>wrds-support@wharton.upenn.edu</w:t>
        </w:r>
      </w:hyperlink>
      <w:r w:rsidRPr="003F1F8D">
        <w:rPr>
          <w:rFonts w:ascii="Times New Roman" w:eastAsia="Times New Roman" w:hAnsi="Times New Roman" w:cs="Times New Roman"/>
          <w:sz w:val="24"/>
          <w:szCs w:val="24"/>
          <w:lang w:val="en"/>
        </w:rPr>
        <w:t xml:space="preserve"> for assistance.</w:t>
      </w:r>
    </w:p>
    <w:p w:rsidR="003F1F8D" w:rsidRPr="003F1F8D" w:rsidRDefault="003F1F8D" w:rsidP="003F1F8D">
      <w:pPr>
        <w:spacing w:after="240" w:line="240" w:lineRule="auto"/>
        <w:rPr>
          <w:rFonts w:ascii="Times New Roman" w:eastAsia="Times New Roman" w:hAnsi="Times New Roman" w:cs="Times New Roman"/>
          <w:sz w:val="24"/>
          <w:szCs w:val="24"/>
          <w:lang w:val="en"/>
        </w:rPr>
      </w:pPr>
      <w:r w:rsidRPr="003F1F8D">
        <w:rPr>
          <w:rFonts w:ascii="Times New Roman" w:eastAsia="Times New Roman" w:hAnsi="Times New Roman" w:cs="Times New Roman"/>
          <w:sz w:val="24"/>
          <w:szCs w:val="24"/>
          <w:lang w:val="en"/>
        </w:rPr>
        <w:br/>
      </w:r>
    </w:p>
    <w:p w:rsidR="003F1F8D" w:rsidRPr="003F1F8D" w:rsidRDefault="003F1F8D" w:rsidP="003F1F8D">
      <w:pPr>
        <w:spacing w:before="100" w:beforeAutospacing="1" w:after="100" w:afterAutospacing="1" w:line="240" w:lineRule="auto"/>
        <w:rPr>
          <w:rFonts w:ascii="Times New Roman" w:eastAsia="Times New Roman" w:hAnsi="Times New Roman" w:cs="Times New Roman"/>
          <w:sz w:val="24"/>
          <w:szCs w:val="24"/>
          <w:lang w:val="en"/>
        </w:rPr>
      </w:pPr>
      <w:r w:rsidRPr="003F1F8D">
        <w:rPr>
          <w:rFonts w:ascii="Times New Roman" w:eastAsia="Times New Roman" w:hAnsi="Times New Roman" w:cs="Times New Roman"/>
          <w:b/>
          <w:bCs/>
          <w:sz w:val="24"/>
          <w:szCs w:val="24"/>
          <w:lang w:val="en"/>
        </w:rPr>
        <w:t>Voluntary Product Accessibility Template (VPAT)</w:t>
      </w:r>
    </w:p>
    <w:p w:rsidR="003F1F8D" w:rsidRPr="003F1F8D" w:rsidRDefault="003F1F8D" w:rsidP="003F1F8D">
      <w:pPr>
        <w:spacing w:after="0" w:line="240" w:lineRule="auto"/>
        <w:rPr>
          <w:rFonts w:ascii="Times New Roman" w:eastAsia="Times New Roman" w:hAnsi="Times New Roman" w:cs="Times New Roman"/>
          <w:sz w:val="24"/>
          <w:szCs w:val="24"/>
          <w:lang w:val="en"/>
        </w:rPr>
      </w:pPr>
      <w:r w:rsidRPr="003F1F8D">
        <w:rPr>
          <w:rFonts w:ascii="Times New Roman" w:eastAsia="Times New Roman" w:hAnsi="Times New Roman" w:cs="Times New Roman"/>
          <w:sz w:val="24"/>
          <w:szCs w:val="24"/>
          <w:lang w:val="en"/>
        </w:rPr>
        <w:t xml:space="preserve">Date: April 2, 2009 </w:t>
      </w:r>
    </w:p>
    <w:tbl>
      <w:tblPr>
        <w:tblW w:w="0" w:type="auto"/>
        <w:jc w:val="center"/>
        <w:tblCellSpacing w:w="0" w:type="dxa"/>
        <w:tblBorders>
          <w:top w:val="outset" w:sz="12" w:space="0" w:color="DCE4EA"/>
          <w:left w:val="outset" w:sz="12" w:space="0" w:color="DCE4EA"/>
          <w:bottom w:val="outset" w:sz="12" w:space="0" w:color="DCE4EA"/>
          <w:right w:val="outset" w:sz="12" w:space="0" w:color="DCE4EA"/>
        </w:tblBorders>
        <w:tblCellMar>
          <w:top w:w="15" w:type="dxa"/>
          <w:left w:w="15" w:type="dxa"/>
          <w:bottom w:w="15" w:type="dxa"/>
          <w:right w:w="15" w:type="dxa"/>
        </w:tblCellMar>
        <w:tblLook w:val="04A0" w:firstRow="1" w:lastRow="0" w:firstColumn="1" w:lastColumn="0" w:noHBand="0" w:noVBand="1"/>
      </w:tblPr>
      <w:tblGrid>
        <w:gridCol w:w="4636"/>
        <w:gridCol w:w="2000"/>
        <w:gridCol w:w="2784"/>
      </w:tblGrid>
      <w:tr w:rsidR="003F1F8D" w:rsidRPr="003F1F8D" w:rsidTr="003F1F8D">
        <w:trPr>
          <w:tblCellSpacing w:w="0" w:type="dxa"/>
          <w:jc w:val="center"/>
        </w:trPr>
        <w:tc>
          <w:tcPr>
            <w:tcW w:w="0" w:type="auto"/>
            <w:gridSpan w:val="3"/>
            <w:tcBorders>
              <w:top w:val="outset" w:sz="6" w:space="0" w:color="DCE4EA"/>
              <w:left w:val="outset" w:sz="6" w:space="0" w:color="DCE4EA"/>
              <w:bottom w:val="outset" w:sz="6" w:space="0" w:color="DCE4EA"/>
              <w:right w:val="outset" w:sz="6" w:space="0" w:color="DCE4EA"/>
            </w:tcBorders>
            <w:shd w:val="clear" w:color="auto" w:fill="DCE4EA"/>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Summary Table</w:t>
            </w:r>
            <w:r w:rsidRPr="003F1F8D">
              <w:rPr>
                <w:rFonts w:ascii="Times New Roman" w:eastAsia="Times New Roman" w:hAnsi="Times New Roman" w:cs="Times New Roman"/>
                <w:b/>
                <w:bCs/>
                <w:sz w:val="24"/>
                <w:szCs w:val="24"/>
              </w:rPr>
              <w:br/>
              <w:t>Voluntary Product Accessibility Template</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i/>
                <w:iCs/>
                <w:sz w:val="24"/>
                <w:szCs w:val="24"/>
              </w:rPr>
              <w:t>Criteria</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Supporting Features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Remarks and explanations</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Section 1194.21 Software Applications and Operating Systems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Not Applicable</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 </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Section 1194.22 Web-based internet information and applications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Supports with Exceptions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See section 1194.22 detail table below</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Section 1194.23 Telecommunications Products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Not Applicable</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 </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 xml:space="preserve">Section 1194.24 Video and Multimedia </w:t>
            </w:r>
            <w:r w:rsidRPr="003F1F8D">
              <w:rPr>
                <w:rFonts w:ascii="Times New Roman" w:eastAsia="Times New Roman" w:hAnsi="Times New Roman" w:cs="Times New Roman"/>
                <w:sz w:val="24"/>
                <w:szCs w:val="24"/>
              </w:rPr>
              <w:lastRenderedPageBreak/>
              <w:t>Products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lastRenderedPageBreak/>
              <w:t>Not Applicable</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 </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lastRenderedPageBreak/>
              <w:t>Section 1194.25 Self-Contained, Closed Products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Not Applicable</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 </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Section 1194.26 Desktop and Portable Computers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Not Applicable</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 </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Section 1194.31 Functional Performance Criteria</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Supports with Exceptions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See section 1194.31 detail table below</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Section 1194.41 Information, documentation, and support</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See section 1194.41 detail table below</w:t>
            </w:r>
          </w:p>
        </w:tc>
      </w:tr>
    </w:tbl>
    <w:p w:rsidR="003F1F8D" w:rsidRPr="003F1F8D" w:rsidRDefault="003F1F8D" w:rsidP="003F1F8D">
      <w:pPr>
        <w:spacing w:after="0" w:line="240" w:lineRule="auto"/>
        <w:jc w:val="center"/>
        <w:rPr>
          <w:rFonts w:ascii="Times New Roman" w:eastAsia="Times New Roman" w:hAnsi="Times New Roman" w:cs="Times New Roman"/>
          <w:vanish/>
          <w:sz w:val="24"/>
          <w:szCs w:val="24"/>
          <w:lang w:val="en"/>
        </w:rPr>
      </w:pPr>
    </w:p>
    <w:tbl>
      <w:tblPr>
        <w:tblW w:w="0" w:type="auto"/>
        <w:jc w:val="center"/>
        <w:tblCellSpacing w:w="0" w:type="dxa"/>
        <w:tblBorders>
          <w:top w:val="outset" w:sz="12" w:space="0" w:color="DCE4EA"/>
          <w:left w:val="outset" w:sz="12" w:space="0" w:color="DCE4EA"/>
          <w:bottom w:val="outset" w:sz="12" w:space="0" w:color="DCE4EA"/>
          <w:right w:val="outset" w:sz="12" w:space="0" w:color="DCE4EA"/>
        </w:tblBorders>
        <w:tblCellMar>
          <w:top w:w="15" w:type="dxa"/>
          <w:left w:w="15" w:type="dxa"/>
          <w:bottom w:w="15" w:type="dxa"/>
          <w:right w:w="15" w:type="dxa"/>
        </w:tblCellMar>
        <w:tblLook w:val="04A0" w:firstRow="1" w:lastRow="0" w:firstColumn="1" w:lastColumn="0" w:noHBand="0" w:noVBand="1"/>
      </w:tblPr>
      <w:tblGrid>
        <w:gridCol w:w="4988"/>
        <w:gridCol w:w="1397"/>
        <w:gridCol w:w="3035"/>
      </w:tblGrid>
      <w:tr w:rsidR="003F1F8D" w:rsidRPr="003F1F8D" w:rsidTr="003F1F8D">
        <w:trPr>
          <w:tblCellSpacing w:w="0" w:type="dxa"/>
          <w:jc w:val="center"/>
        </w:trPr>
        <w:tc>
          <w:tcPr>
            <w:tcW w:w="0" w:type="auto"/>
            <w:gridSpan w:val="3"/>
            <w:tcBorders>
              <w:top w:val="outset" w:sz="6" w:space="0" w:color="DCE4EA"/>
              <w:left w:val="outset" w:sz="6" w:space="0" w:color="DCE4EA"/>
              <w:bottom w:val="outset" w:sz="6" w:space="0" w:color="DCE4EA"/>
              <w:right w:val="outset" w:sz="6" w:space="0" w:color="DCE4EA"/>
            </w:tcBorders>
            <w:shd w:val="clear" w:color="auto" w:fill="DCE4EA"/>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Section 1194.22 Web-based internet information and applications—Detail</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shd w:val="clear" w:color="auto" w:fill="DCE4EA"/>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Criteria</w:t>
            </w:r>
          </w:p>
        </w:tc>
        <w:tc>
          <w:tcPr>
            <w:tcW w:w="0" w:type="auto"/>
            <w:tcBorders>
              <w:top w:val="outset" w:sz="6" w:space="0" w:color="DCE4EA"/>
              <w:left w:val="outset" w:sz="6" w:space="0" w:color="DCE4EA"/>
              <w:bottom w:val="outset" w:sz="6" w:space="0" w:color="DCE4EA"/>
              <w:right w:val="outset" w:sz="6" w:space="0" w:color="DCE4EA"/>
            </w:tcBorders>
            <w:shd w:val="clear" w:color="auto" w:fill="DCE4EA"/>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Supporting Features</w:t>
            </w:r>
          </w:p>
        </w:tc>
        <w:tc>
          <w:tcPr>
            <w:tcW w:w="0" w:type="auto"/>
            <w:tcBorders>
              <w:top w:val="outset" w:sz="6" w:space="0" w:color="DCE4EA"/>
              <w:left w:val="outset" w:sz="6" w:space="0" w:color="DCE4EA"/>
              <w:bottom w:val="outset" w:sz="6" w:space="0" w:color="DCE4EA"/>
              <w:right w:val="outset" w:sz="6" w:space="0" w:color="DCE4EA"/>
            </w:tcBorders>
            <w:shd w:val="clear" w:color="auto" w:fill="DCE4EA"/>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Remarks and explanations</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(a) A text equivalent for every non-text element shall be provided (</w:t>
            </w:r>
            <w:r w:rsidRPr="003F1F8D">
              <w:rPr>
                <w:rFonts w:ascii="Times New Roman" w:eastAsia="Times New Roman" w:hAnsi="Times New Roman" w:cs="Times New Roman"/>
                <w:i/>
                <w:iCs/>
                <w:sz w:val="24"/>
                <w:szCs w:val="24"/>
              </w:rPr>
              <w:t>e.g.</w:t>
            </w:r>
            <w:r w:rsidRPr="003F1F8D">
              <w:rPr>
                <w:rFonts w:ascii="Times New Roman" w:eastAsia="Times New Roman" w:hAnsi="Times New Roman" w:cs="Times New Roman"/>
                <w:sz w:val="24"/>
                <w:szCs w:val="24"/>
              </w:rPr>
              <w:t>, via “</w:t>
            </w:r>
            <w:r w:rsidRPr="003F1F8D">
              <w:rPr>
                <w:rFonts w:ascii="Courier New" w:eastAsia="Times New Roman" w:hAnsi="Courier New" w:cs="Courier New"/>
                <w:sz w:val="20"/>
                <w:szCs w:val="20"/>
              </w:rPr>
              <w:t>alt</w:t>
            </w:r>
            <w:r w:rsidRPr="003F1F8D">
              <w:rPr>
                <w:rFonts w:ascii="Times New Roman" w:eastAsia="Times New Roman" w:hAnsi="Times New Roman" w:cs="Times New Roman"/>
                <w:sz w:val="24"/>
                <w:szCs w:val="24"/>
              </w:rPr>
              <w:t>”, “</w:t>
            </w:r>
            <w:r w:rsidRPr="003F1F8D">
              <w:rPr>
                <w:rFonts w:ascii="Courier New" w:eastAsia="Times New Roman" w:hAnsi="Courier New" w:cs="Courier New"/>
                <w:sz w:val="20"/>
                <w:szCs w:val="20"/>
              </w:rPr>
              <w:t>longdesc</w:t>
            </w:r>
            <w:r w:rsidRPr="003F1F8D">
              <w:rPr>
                <w:rFonts w:ascii="Times New Roman" w:eastAsia="Times New Roman" w:hAnsi="Times New Roman" w:cs="Times New Roman"/>
                <w:sz w:val="24"/>
                <w:szCs w:val="24"/>
              </w:rPr>
              <w:t>”, or in element content).</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Images have proper descriptive tags.</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(b) Equivalent alternatives for any multimedia presentation shall be synchronized with the presentation.</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Supports with Exceptions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Multimedia presentations are currently being transcribed, and the transcriptions will be available as plain text pages.</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(c) Web pages shall be designed so that all information conveyed with color is also available without color, for example from context or markup.</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Color is not used for any purpose other than design.</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(d) Documents shall be organized so they are readable without requiring an associated style sheet.</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All documents are available in pdf format.</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(e) Redundant text links shall be provided for each active region of a server-side image map.</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Not Applicable.</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Server side image maps are not used.</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(f) Client-side image maps shall be provided instead of server-side image maps except where the regions cannot be defined with an available geometric shape.</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All image-map based navigation is client-side, along with alt tags describing each tab.</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lastRenderedPageBreak/>
              <w:t>(g) Row and column headers shall be identified for data tables.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Supports with Exceptions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70% of tables contain column and or row headers when the table is not used for formatting alone. WRDS is in the process of moving to 100%.</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(h) Markup shall be used to associate data cells and header cells for data tables that have two or more logical levels of row or column headers.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Supports with Exceptions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70% of tables contain column and or row headers when the table is not used for formatting alone. WRDS is in the process of moving to 100%.</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(i) Frames shall be titled with text that facilitates frame identification and navigation.</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Not Applicable</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WRDS does not utilize frames.</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(j) Pages shall be designed to avoid causing the screen to flicker with a frequency greater than 2 Hz and lower than 55 Hz.</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No animated images are used in WRDS.</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In all places where WRDS does not comply with 508 provisions, a up-to-date text only page has been created.</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Content is written to the page by scripts and not provided directly by the script.</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(m) When a web page requires that an applet, plug-in or other application be present on the client system to interpret page content, the page must provide a link to a plug-in or applet that complies with §1194.21(a) through (l).</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WRDS uses only the Adobe Flash plugin.</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Supports with Exceptions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Not all electronic forms have been enabled to comply with this requirement.</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lastRenderedPageBreak/>
              <w:t>(o) A method shall be provided that permits users to skip repetitive navigation links.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No repetitive navigation links are used.</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 xml:space="preserve">(p) When a timed response is required, the user shall be alerted and given sufficient time to indicate more time is required. </w:t>
            </w:r>
            <w:bookmarkStart w:id="1" w:name="note1"/>
            <w:bookmarkEnd w:id="1"/>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Not Applicable</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Timed responses are not required in WRDS.</w:t>
            </w:r>
          </w:p>
        </w:tc>
      </w:tr>
    </w:tbl>
    <w:p w:rsidR="003F1F8D" w:rsidRPr="003F1F8D" w:rsidRDefault="003F1F8D" w:rsidP="003F1F8D">
      <w:pPr>
        <w:spacing w:after="0" w:line="240" w:lineRule="auto"/>
        <w:jc w:val="center"/>
        <w:rPr>
          <w:rFonts w:ascii="Times New Roman" w:eastAsia="Times New Roman" w:hAnsi="Times New Roman" w:cs="Times New Roman"/>
          <w:vanish/>
          <w:sz w:val="24"/>
          <w:szCs w:val="24"/>
          <w:lang w:val="en"/>
        </w:rPr>
      </w:pPr>
    </w:p>
    <w:tbl>
      <w:tblPr>
        <w:tblW w:w="0" w:type="auto"/>
        <w:jc w:val="center"/>
        <w:tblCellSpacing w:w="0" w:type="dxa"/>
        <w:tblBorders>
          <w:top w:val="outset" w:sz="12" w:space="0" w:color="DCE4EA"/>
          <w:left w:val="outset" w:sz="12" w:space="0" w:color="DCE4EA"/>
          <w:bottom w:val="outset" w:sz="12" w:space="0" w:color="DCE4EA"/>
          <w:right w:val="outset" w:sz="12" w:space="0" w:color="DCE4EA"/>
        </w:tblBorders>
        <w:tblCellMar>
          <w:top w:w="15" w:type="dxa"/>
          <w:left w:w="15" w:type="dxa"/>
          <w:bottom w:w="15" w:type="dxa"/>
          <w:right w:w="15" w:type="dxa"/>
        </w:tblCellMar>
        <w:tblLook w:val="04A0" w:firstRow="1" w:lastRow="0" w:firstColumn="1" w:lastColumn="0" w:noHBand="0" w:noVBand="1"/>
      </w:tblPr>
      <w:tblGrid>
        <w:gridCol w:w="4132"/>
        <w:gridCol w:w="1314"/>
        <w:gridCol w:w="3974"/>
      </w:tblGrid>
      <w:tr w:rsidR="003F1F8D" w:rsidRPr="003F1F8D" w:rsidTr="003F1F8D">
        <w:trPr>
          <w:tblCellSpacing w:w="0" w:type="dxa"/>
          <w:jc w:val="center"/>
        </w:trPr>
        <w:tc>
          <w:tcPr>
            <w:tcW w:w="0" w:type="auto"/>
            <w:gridSpan w:val="3"/>
            <w:tcBorders>
              <w:top w:val="outset" w:sz="6" w:space="0" w:color="DCE4EA"/>
              <w:left w:val="outset" w:sz="6" w:space="0" w:color="DCE4EA"/>
              <w:bottom w:val="outset" w:sz="6" w:space="0" w:color="DCE4EA"/>
              <w:right w:val="outset" w:sz="6" w:space="0" w:color="DCE4EA"/>
            </w:tcBorders>
            <w:shd w:val="clear" w:color="auto" w:fill="DCE4EA"/>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Section 1194.31 Functional Performance Criteria</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shd w:val="clear" w:color="auto" w:fill="DCE4EA"/>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Criteria</w:t>
            </w:r>
          </w:p>
        </w:tc>
        <w:tc>
          <w:tcPr>
            <w:tcW w:w="0" w:type="auto"/>
            <w:tcBorders>
              <w:top w:val="outset" w:sz="6" w:space="0" w:color="DCE4EA"/>
              <w:left w:val="outset" w:sz="6" w:space="0" w:color="DCE4EA"/>
              <w:bottom w:val="outset" w:sz="6" w:space="0" w:color="DCE4EA"/>
              <w:right w:val="outset" w:sz="6" w:space="0" w:color="DCE4EA"/>
            </w:tcBorders>
            <w:shd w:val="clear" w:color="auto" w:fill="DCE4EA"/>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Supporting Features</w:t>
            </w:r>
          </w:p>
        </w:tc>
        <w:tc>
          <w:tcPr>
            <w:tcW w:w="0" w:type="auto"/>
            <w:tcBorders>
              <w:top w:val="outset" w:sz="6" w:space="0" w:color="DCE4EA"/>
              <w:left w:val="outset" w:sz="6" w:space="0" w:color="DCE4EA"/>
              <w:bottom w:val="outset" w:sz="6" w:space="0" w:color="DCE4EA"/>
              <w:right w:val="outset" w:sz="6" w:space="0" w:color="DCE4EA"/>
            </w:tcBorders>
            <w:shd w:val="clear" w:color="auto" w:fill="DCE4EA"/>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Remarks and explanations</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All features may be accessed by text input, and all results may be accessed as plain ASCII text. Assistive Technology can allow visually impaired people to submit commands via voice input or other means and can allow plain text results to be presented via speech synthesis or a Braille display.</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Using standard web browser or operating system features, enlarged print output is available in WRDS.</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Plain text transcripts are available for all audio information.</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Plain text transcripts are available for all audio information.</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 xml:space="preserve">(e) At least one mode of operation and </w:t>
            </w:r>
            <w:r w:rsidRPr="003F1F8D">
              <w:rPr>
                <w:rFonts w:ascii="Times New Roman" w:eastAsia="Times New Roman" w:hAnsi="Times New Roman" w:cs="Times New Roman"/>
                <w:sz w:val="24"/>
                <w:szCs w:val="24"/>
              </w:rPr>
              <w:lastRenderedPageBreak/>
              <w:t>information retrieval that does not require user speech shall be provided, or support for Assistive Technology used by people with disabilities shall be provided.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lastRenderedPageBreak/>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 xml:space="preserve">All features of WRDS may be accessed </w:t>
            </w:r>
            <w:r w:rsidRPr="003F1F8D">
              <w:rPr>
                <w:rFonts w:ascii="Times New Roman" w:eastAsia="Times New Roman" w:hAnsi="Times New Roman" w:cs="Times New Roman"/>
                <w:sz w:val="24"/>
                <w:szCs w:val="24"/>
              </w:rPr>
              <w:lastRenderedPageBreak/>
              <w:t>via keyboard text or mouse input.</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lastRenderedPageBreak/>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Not 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 </w:t>
            </w:r>
          </w:p>
        </w:tc>
      </w:tr>
    </w:tbl>
    <w:p w:rsidR="003F1F8D" w:rsidRPr="003F1F8D" w:rsidRDefault="003F1F8D" w:rsidP="003F1F8D">
      <w:pPr>
        <w:spacing w:after="0" w:line="240" w:lineRule="auto"/>
        <w:jc w:val="center"/>
        <w:rPr>
          <w:rFonts w:ascii="Times New Roman" w:eastAsia="Times New Roman" w:hAnsi="Times New Roman" w:cs="Times New Roman"/>
          <w:vanish/>
          <w:sz w:val="24"/>
          <w:szCs w:val="24"/>
          <w:lang w:val="en"/>
        </w:rPr>
      </w:pPr>
    </w:p>
    <w:tbl>
      <w:tblPr>
        <w:tblW w:w="0" w:type="auto"/>
        <w:jc w:val="center"/>
        <w:tblCellSpacing w:w="0" w:type="dxa"/>
        <w:tblBorders>
          <w:top w:val="outset" w:sz="12" w:space="0" w:color="DCE4EA"/>
          <w:left w:val="outset" w:sz="12" w:space="0" w:color="DCE4EA"/>
          <w:bottom w:val="outset" w:sz="12" w:space="0" w:color="DCE4EA"/>
          <w:right w:val="outset" w:sz="12" w:space="0" w:color="DCE4EA"/>
        </w:tblBorders>
        <w:tblCellMar>
          <w:top w:w="15" w:type="dxa"/>
          <w:left w:w="15" w:type="dxa"/>
          <w:bottom w:w="15" w:type="dxa"/>
          <w:right w:w="15" w:type="dxa"/>
        </w:tblCellMar>
        <w:tblLook w:val="04A0" w:firstRow="1" w:lastRow="0" w:firstColumn="1" w:lastColumn="0" w:noHBand="0" w:noVBand="1"/>
      </w:tblPr>
      <w:tblGrid>
        <w:gridCol w:w="3917"/>
        <w:gridCol w:w="1360"/>
        <w:gridCol w:w="4143"/>
      </w:tblGrid>
      <w:tr w:rsidR="003F1F8D" w:rsidRPr="003F1F8D" w:rsidTr="003F1F8D">
        <w:trPr>
          <w:tblCellSpacing w:w="0" w:type="dxa"/>
          <w:jc w:val="center"/>
        </w:trPr>
        <w:tc>
          <w:tcPr>
            <w:tcW w:w="0" w:type="auto"/>
            <w:gridSpan w:val="3"/>
            <w:tcBorders>
              <w:top w:val="outset" w:sz="6" w:space="0" w:color="DCE4EA"/>
              <w:left w:val="outset" w:sz="6" w:space="0" w:color="DCE4EA"/>
              <w:bottom w:val="outset" w:sz="6" w:space="0" w:color="DCE4EA"/>
              <w:right w:val="outset" w:sz="6" w:space="0" w:color="DCE4EA"/>
            </w:tcBorders>
            <w:shd w:val="clear" w:color="auto" w:fill="DCE4EA"/>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Section 1194.41 Information, documentation, and support</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shd w:val="clear" w:color="auto" w:fill="DCE4EA"/>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Criteria</w:t>
            </w:r>
          </w:p>
        </w:tc>
        <w:tc>
          <w:tcPr>
            <w:tcW w:w="0" w:type="auto"/>
            <w:tcBorders>
              <w:top w:val="outset" w:sz="6" w:space="0" w:color="DCE4EA"/>
              <w:left w:val="outset" w:sz="6" w:space="0" w:color="DCE4EA"/>
              <w:bottom w:val="outset" w:sz="6" w:space="0" w:color="DCE4EA"/>
              <w:right w:val="outset" w:sz="6" w:space="0" w:color="DCE4EA"/>
            </w:tcBorders>
            <w:shd w:val="clear" w:color="auto" w:fill="DCE4EA"/>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Supporting Features</w:t>
            </w:r>
          </w:p>
        </w:tc>
        <w:tc>
          <w:tcPr>
            <w:tcW w:w="0" w:type="auto"/>
            <w:tcBorders>
              <w:top w:val="outset" w:sz="6" w:space="0" w:color="DCE4EA"/>
              <w:left w:val="outset" w:sz="6" w:space="0" w:color="DCE4EA"/>
              <w:bottom w:val="outset" w:sz="6" w:space="0" w:color="DCE4EA"/>
              <w:right w:val="outset" w:sz="6" w:space="0" w:color="DCE4EA"/>
            </w:tcBorders>
            <w:shd w:val="clear" w:color="auto" w:fill="DCE4EA"/>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b/>
                <w:bCs/>
                <w:sz w:val="24"/>
                <w:szCs w:val="24"/>
              </w:rPr>
            </w:pPr>
            <w:r w:rsidRPr="003F1F8D">
              <w:rPr>
                <w:rFonts w:ascii="Times New Roman" w:eastAsia="Times New Roman" w:hAnsi="Times New Roman" w:cs="Times New Roman"/>
                <w:b/>
                <w:bCs/>
                <w:sz w:val="24"/>
                <w:szCs w:val="24"/>
              </w:rPr>
              <w:t>Remarks and explanations</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(a) Product support documentation provided to end-users shall be made available in alternate formats upon request, at no additional charge.</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WRDS will provide support documentation to end-users in alternate formats upon request, within reason, at no additional charge.</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WRDS will provide a description of the accessibility and compatibility features of products in alternate formats or alternate methods, within reason and upon request, at no additional charge.</w:t>
            </w:r>
          </w:p>
        </w:tc>
      </w:tr>
      <w:tr w:rsidR="003F1F8D" w:rsidRPr="003F1F8D" w:rsidTr="003F1F8D">
        <w:trPr>
          <w:tblCellSpacing w:w="0" w:type="dxa"/>
          <w:jc w:val="center"/>
        </w:trPr>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(c) Support services for products shall accommodate the communication needs of end-users with disabilities.</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Supported</w:t>
            </w:r>
          </w:p>
        </w:tc>
        <w:tc>
          <w:tcPr>
            <w:tcW w:w="0" w:type="auto"/>
            <w:tcBorders>
              <w:top w:val="outset" w:sz="6" w:space="0" w:color="DCE4EA"/>
              <w:left w:val="outset" w:sz="6" w:space="0" w:color="DCE4EA"/>
              <w:bottom w:val="outset" w:sz="6" w:space="0" w:color="DCE4EA"/>
              <w:right w:val="outset" w:sz="6" w:space="0" w:color="DCE4EA"/>
            </w:tcBorders>
            <w:vAlign w:val="center"/>
            <w:hideMark/>
          </w:tcPr>
          <w:p w:rsidR="003F1F8D" w:rsidRPr="003F1F8D" w:rsidRDefault="003F1F8D" w:rsidP="003F1F8D">
            <w:pPr>
              <w:spacing w:before="225" w:after="0" w:line="240" w:lineRule="auto"/>
              <w:jc w:val="center"/>
              <w:rPr>
                <w:rFonts w:ascii="Times New Roman" w:eastAsia="Times New Roman" w:hAnsi="Times New Roman" w:cs="Times New Roman"/>
                <w:sz w:val="24"/>
                <w:szCs w:val="24"/>
              </w:rPr>
            </w:pPr>
            <w:r w:rsidRPr="003F1F8D">
              <w:rPr>
                <w:rFonts w:ascii="Times New Roman" w:eastAsia="Times New Roman" w:hAnsi="Times New Roman" w:cs="Times New Roman"/>
                <w:sz w:val="24"/>
                <w:szCs w:val="24"/>
              </w:rPr>
              <w:t>The primary method of support for WRDS is email. We are reliant on the end-user being able to interact via email.</w:t>
            </w:r>
          </w:p>
        </w:tc>
      </w:tr>
    </w:tbl>
    <w:p w:rsidR="003F1F8D" w:rsidRPr="003F1F8D" w:rsidRDefault="003F1F8D" w:rsidP="003F1F8D">
      <w:pPr>
        <w:spacing w:before="100" w:beforeAutospacing="1" w:after="100" w:afterAutospacing="1" w:line="240" w:lineRule="auto"/>
        <w:ind w:left="720"/>
        <w:outlineLvl w:val="1"/>
        <w:rPr>
          <w:rFonts w:ascii="Times New Roman" w:eastAsia="Times New Roman" w:hAnsi="Times New Roman" w:cs="Times New Roman"/>
          <w:b/>
          <w:bCs/>
          <w:sz w:val="36"/>
          <w:szCs w:val="36"/>
          <w:lang w:val="en"/>
        </w:rPr>
      </w:pPr>
      <w:r w:rsidRPr="003F1F8D">
        <w:rPr>
          <w:rFonts w:ascii="Times New Roman" w:eastAsia="Times New Roman" w:hAnsi="Times New Roman" w:cs="Times New Roman"/>
          <w:b/>
          <w:bCs/>
          <w:sz w:val="36"/>
          <w:szCs w:val="36"/>
          <w:lang w:val="en"/>
        </w:rPr>
        <w:t>About WRDS</w:t>
      </w:r>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7" w:tooltip="About WRDS Home" w:history="1">
        <w:r w:rsidR="003F1F8D" w:rsidRPr="003F1F8D">
          <w:rPr>
            <w:rFonts w:ascii="Times New Roman" w:eastAsia="Times New Roman" w:hAnsi="Times New Roman" w:cs="Times New Roman"/>
            <w:color w:val="0000FF"/>
            <w:sz w:val="24"/>
            <w:szCs w:val="24"/>
            <w:u w:val="single"/>
            <w:lang w:val="en"/>
          </w:rPr>
          <w:t>About WRDS Home</w:t>
        </w:r>
      </w:hyperlink>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8" w:tooltip="What is WRDS?" w:history="1">
        <w:r w:rsidR="003F1F8D" w:rsidRPr="003F1F8D">
          <w:rPr>
            <w:rFonts w:ascii="Times New Roman" w:eastAsia="Times New Roman" w:hAnsi="Times New Roman" w:cs="Times New Roman"/>
            <w:color w:val="0000FF"/>
            <w:sz w:val="24"/>
            <w:szCs w:val="24"/>
            <w:u w:val="single"/>
            <w:lang w:val="en"/>
          </w:rPr>
          <w:t>What is WRDS?</w:t>
        </w:r>
      </w:hyperlink>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9" w:tooltip="WRDS FAQs" w:history="1">
        <w:r w:rsidR="003F1F8D" w:rsidRPr="003F1F8D">
          <w:rPr>
            <w:rFonts w:ascii="Times New Roman" w:eastAsia="Times New Roman" w:hAnsi="Times New Roman" w:cs="Times New Roman"/>
            <w:color w:val="0000FF"/>
            <w:sz w:val="24"/>
            <w:szCs w:val="24"/>
            <w:u w:val="single"/>
            <w:lang w:val="en"/>
          </w:rPr>
          <w:t>WRDS FAQs</w:t>
        </w:r>
      </w:hyperlink>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0" w:tooltip="Subscribers" w:history="1">
        <w:r w:rsidR="003F1F8D" w:rsidRPr="003F1F8D">
          <w:rPr>
            <w:rFonts w:ascii="Times New Roman" w:eastAsia="Times New Roman" w:hAnsi="Times New Roman" w:cs="Times New Roman"/>
            <w:color w:val="0000FF"/>
            <w:sz w:val="24"/>
            <w:szCs w:val="24"/>
            <w:u w:val="single"/>
            <w:lang w:val="en"/>
          </w:rPr>
          <w:t>Subscribers</w:t>
        </w:r>
      </w:hyperlink>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1" w:tooltip="Map of Subscribers" w:history="1">
        <w:r w:rsidR="003F1F8D" w:rsidRPr="003F1F8D">
          <w:rPr>
            <w:rFonts w:ascii="Times New Roman" w:eastAsia="Times New Roman" w:hAnsi="Times New Roman" w:cs="Times New Roman"/>
            <w:color w:val="0000FF"/>
            <w:sz w:val="24"/>
            <w:szCs w:val="24"/>
            <w:u w:val="single"/>
            <w:lang w:val="en"/>
          </w:rPr>
          <w:t>Map of Subscribers</w:t>
        </w:r>
      </w:hyperlink>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2" w:tooltip="WRDS Account Types" w:history="1">
        <w:r w:rsidR="003F1F8D" w:rsidRPr="003F1F8D">
          <w:rPr>
            <w:rFonts w:ascii="Times New Roman" w:eastAsia="Times New Roman" w:hAnsi="Times New Roman" w:cs="Times New Roman"/>
            <w:color w:val="0000FF"/>
            <w:sz w:val="24"/>
            <w:szCs w:val="24"/>
            <w:u w:val="single"/>
            <w:lang w:val="en"/>
          </w:rPr>
          <w:t>WRDS Account Types</w:t>
        </w:r>
      </w:hyperlink>
    </w:p>
    <w:p w:rsidR="003F1F8D" w:rsidRPr="003F1F8D" w:rsidRDefault="003F1F8D"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F1F8D">
        <w:rPr>
          <w:rFonts w:ascii="Times New Roman" w:eastAsia="Times New Roman" w:hAnsi="Times New Roman" w:cs="Times New Roman"/>
          <w:b/>
          <w:bCs/>
          <w:sz w:val="24"/>
          <w:szCs w:val="24"/>
          <w:lang w:val="en"/>
        </w:rPr>
        <w:t>WRDS 508 Compliance</w:t>
      </w:r>
    </w:p>
    <w:p w:rsidR="003F1F8D" w:rsidRPr="003F1F8D" w:rsidRDefault="003F1F8D" w:rsidP="003F1F8D">
      <w:pPr>
        <w:spacing w:before="100" w:beforeAutospacing="1" w:after="100" w:afterAutospacing="1" w:line="240" w:lineRule="auto"/>
        <w:ind w:left="720"/>
        <w:outlineLvl w:val="1"/>
        <w:rPr>
          <w:rFonts w:ascii="Times New Roman" w:eastAsia="Times New Roman" w:hAnsi="Times New Roman" w:cs="Times New Roman"/>
          <w:b/>
          <w:bCs/>
          <w:sz w:val="36"/>
          <w:szCs w:val="36"/>
          <w:lang w:val="en"/>
        </w:rPr>
      </w:pPr>
      <w:r w:rsidRPr="003F1F8D">
        <w:rPr>
          <w:rFonts w:ascii="Times New Roman" w:eastAsia="Times New Roman" w:hAnsi="Times New Roman" w:cs="Times New Roman"/>
          <w:b/>
          <w:bCs/>
          <w:sz w:val="36"/>
          <w:szCs w:val="36"/>
          <w:lang w:val="en"/>
        </w:rPr>
        <w:t>WRDS Demo</w:t>
      </w:r>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3" w:tooltip="WRDS Demo" w:history="1">
        <w:r w:rsidR="003F1F8D" w:rsidRPr="003F1F8D">
          <w:rPr>
            <w:rFonts w:ascii="Times New Roman" w:eastAsia="Times New Roman" w:hAnsi="Times New Roman" w:cs="Times New Roman"/>
            <w:color w:val="0000FF"/>
            <w:sz w:val="24"/>
            <w:szCs w:val="24"/>
            <w:u w:val="single"/>
            <w:lang w:val="en"/>
          </w:rPr>
          <w:t>WRDS Demo</w:t>
        </w:r>
      </w:hyperlink>
    </w:p>
    <w:p w:rsidR="003F1F8D" w:rsidRPr="003F1F8D" w:rsidRDefault="003F1F8D" w:rsidP="003F1F8D">
      <w:pPr>
        <w:spacing w:before="100" w:beforeAutospacing="1" w:after="100" w:afterAutospacing="1" w:line="240" w:lineRule="auto"/>
        <w:ind w:left="720"/>
        <w:outlineLvl w:val="1"/>
        <w:rPr>
          <w:rFonts w:ascii="Times New Roman" w:eastAsia="Times New Roman" w:hAnsi="Times New Roman" w:cs="Times New Roman"/>
          <w:b/>
          <w:bCs/>
          <w:sz w:val="36"/>
          <w:szCs w:val="36"/>
          <w:lang w:val="en"/>
        </w:rPr>
      </w:pPr>
      <w:r w:rsidRPr="003F1F8D">
        <w:rPr>
          <w:rFonts w:ascii="Times New Roman" w:eastAsia="Times New Roman" w:hAnsi="Times New Roman" w:cs="Times New Roman"/>
          <w:b/>
          <w:bCs/>
          <w:sz w:val="36"/>
          <w:szCs w:val="36"/>
          <w:lang w:val="en"/>
        </w:rPr>
        <w:lastRenderedPageBreak/>
        <w:t>Other Topics of Interest</w:t>
      </w:r>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4" w:tooltip="Dr. Jim Goodnight, Founder of SAS, speaks at Wharton" w:history="1">
        <w:r w:rsidR="003F1F8D" w:rsidRPr="003F1F8D">
          <w:rPr>
            <w:rFonts w:ascii="Times New Roman" w:eastAsia="Times New Roman" w:hAnsi="Times New Roman" w:cs="Times New Roman"/>
            <w:color w:val="0000FF"/>
            <w:sz w:val="24"/>
            <w:szCs w:val="24"/>
            <w:u w:val="single"/>
            <w:lang w:val="en"/>
          </w:rPr>
          <w:t>Dr. Jim Goodnight, Founder of SAS, speaks at Wharton</w:t>
        </w:r>
      </w:hyperlink>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5" w:tooltip="Conference Calendar" w:history="1">
        <w:r w:rsidR="003F1F8D" w:rsidRPr="003F1F8D">
          <w:rPr>
            <w:rFonts w:ascii="Times New Roman" w:eastAsia="Times New Roman" w:hAnsi="Times New Roman" w:cs="Times New Roman"/>
            <w:color w:val="0000FF"/>
            <w:sz w:val="24"/>
            <w:szCs w:val="24"/>
            <w:u w:val="single"/>
            <w:lang w:val="en"/>
          </w:rPr>
          <w:t>Conference Calendar</w:t>
        </w:r>
      </w:hyperlink>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6" w:tooltip="User Conference" w:history="1">
        <w:r w:rsidR="003F1F8D" w:rsidRPr="003F1F8D">
          <w:rPr>
            <w:rFonts w:ascii="Times New Roman" w:eastAsia="Times New Roman" w:hAnsi="Times New Roman" w:cs="Times New Roman"/>
            <w:color w:val="0000FF"/>
            <w:sz w:val="24"/>
            <w:szCs w:val="24"/>
            <w:u w:val="single"/>
            <w:lang w:val="en"/>
          </w:rPr>
          <w:t>User Conference</w:t>
        </w:r>
      </w:hyperlink>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7" w:tooltip="WRDS in the Media" w:history="1">
        <w:r w:rsidR="003F1F8D" w:rsidRPr="003F1F8D">
          <w:rPr>
            <w:rFonts w:ascii="Times New Roman" w:eastAsia="Times New Roman" w:hAnsi="Times New Roman" w:cs="Times New Roman"/>
            <w:color w:val="0000FF"/>
            <w:sz w:val="24"/>
            <w:szCs w:val="24"/>
            <w:u w:val="single"/>
            <w:lang w:val="en"/>
          </w:rPr>
          <w:t>WRDS in the Media</w:t>
        </w:r>
      </w:hyperlink>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8" w:tooltip="Best Paper Award Sponsorship" w:history="1">
        <w:r w:rsidR="003F1F8D" w:rsidRPr="003F1F8D">
          <w:rPr>
            <w:rFonts w:ascii="Times New Roman" w:eastAsia="Times New Roman" w:hAnsi="Times New Roman" w:cs="Times New Roman"/>
            <w:color w:val="0000FF"/>
            <w:sz w:val="24"/>
            <w:szCs w:val="24"/>
            <w:u w:val="single"/>
            <w:lang w:val="en"/>
          </w:rPr>
          <w:t>Best Paper Award Sponsorship</w:t>
        </w:r>
      </w:hyperlink>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9" w:tooltip="WRDS Terms of Use" w:history="1">
        <w:r w:rsidR="003F1F8D" w:rsidRPr="003F1F8D">
          <w:rPr>
            <w:rFonts w:ascii="Times New Roman" w:eastAsia="Times New Roman" w:hAnsi="Times New Roman" w:cs="Times New Roman"/>
            <w:color w:val="0000FF"/>
            <w:sz w:val="24"/>
            <w:szCs w:val="24"/>
            <w:u w:val="single"/>
            <w:lang w:val="en"/>
          </w:rPr>
          <w:t>WRDS Terms of Use</w:t>
        </w:r>
      </w:hyperlink>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20" w:tooltip="WRDS Privacy Policy" w:history="1">
        <w:r w:rsidR="003F1F8D" w:rsidRPr="003F1F8D">
          <w:rPr>
            <w:rFonts w:ascii="Times New Roman" w:eastAsia="Times New Roman" w:hAnsi="Times New Roman" w:cs="Times New Roman"/>
            <w:color w:val="0000FF"/>
            <w:sz w:val="24"/>
            <w:szCs w:val="24"/>
            <w:u w:val="single"/>
            <w:lang w:val="en"/>
          </w:rPr>
          <w:t>WRDS Privacy Policy</w:t>
        </w:r>
      </w:hyperlink>
    </w:p>
    <w:p w:rsidR="003F1F8D" w:rsidRPr="003F1F8D" w:rsidRDefault="005B0AA8" w:rsidP="003F1F8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21" w:tooltip="The Wharton School" w:history="1">
        <w:r w:rsidR="003F1F8D" w:rsidRPr="003F1F8D">
          <w:rPr>
            <w:rFonts w:ascii="Times New Roman" w:eastAsia="Times New Roman" w:hAnsi="Times New Roman" w:cs="Times New Roman"/>
            <w:color w:val="0000FF"/>
            <w:sz w:val="24"/>
            <w:szCs w:val="24"/>
            <w:u w:val="single"/>
            <w:lang w:val="en"/>
          </w:rPr>
          <w:t>The Wharton School</w:t>
        </w:r>
      </w:hyperlink>
    </w:p>
    <w:p w:rsidR="003F1F8D" w:rsidRPr="003F1F8D" w:rsidRDefault="003F1F8D" w:rsidP="003F1F8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F1F8D">
        <w:rPr>
          <w:rFonts w:ascii="Times New Roman" w:eastAsia="Times New Roman" w:hAnsi="Times New Roman" w:cs="Times New Roman"/>
          <w:b/>
          <w:bCs/>
          <w:sz w:val="36"/>
          <w:szCs w:val="36"/>
          <w:lang w:val="en"/>
        </w:rPr>
        <w:t>Contact WRDS</w:t>
      </w:r>
    </w:p>
    <w:p w:rsidR="003F1F8D" w:rsidRPr="003F1F8D" w:rsidRDefault="005B0AA8" w:rsidP="003F1F8D">
      <w:pPr>
        <w:spacing w:after="0" w:line="240" w:lineRule="auto"/>
        <w:rPr>
          <w:rFonts w:ascii="Times New Roman" w:eastAsia="Times New Roman" w:hAnsi="Times New Roman" w:cs="Times New Roman"/>
          <w:sz w:val="24"/>
          <w:szCs w:val="24"/>
          <w:lang w:val="en"/>
        </w:rPr>
      </w:pPr>
      <w:hyperlink r:id="rId22" w:history="1">
        <w:r w:rsidR="003F1F8D" w:rsidRPr="003F1F8D">
          <w:rPr>
            <w:rFonts w:ascii="Times New Roman" w:eastAsia="Times New Roman" w:hAnsi="Times New Roman" w:cs="Times New Roman"/>
            <w:color w:val="0000FF"/>
            <w:sz w:val="24"/>
            <w:szCs w:val="24"/>
            <w:u w:val="single"/>
            <w:lang w:val="en"/>
          </w:rPr>
          <w:t>Info/Support Request</w:t>
        </w:r>
      </w:hyperlink>
      <w:r w:rsidR="003F1F8D" w:rsidRPr="003F1F8D">
        <w:rPr>
          <w:rFonts w:ascii="Times New Roman" w:eastAsia="Times New Roman" w:hAnsi="Times New Roman" w:cs="Times New Roman"/>
          <w:sz w:val="24"/>
          <w:szCs w:val="24"/>
          <w:lang w:val="en"/>
        </w:rPr>
        <w:t xml:space="preserve"> </w:t>
      </w:r>
    </w:p>
    <w:p w:rsidR="003F1F8D" w:rsidRPr="003F1F8D" w:rsidRDefault="005B0AA8" w:rsidP="003F1F8D">
      <w:pPr>
        <w:spacing w:before="100" w:beforeAutospacing="1" w:after="100" w:afterAutospacing="1" w:line="240" w:lineRule="auto"/>
        <w:outlineLvl w:val="1"/>
        <w:rPr>
          <w:rFonts w:ascii="Times New Roman" w:eastAsia="Times New Roman" w:hAnsi="Times New Roman" w:cs="Times New Roman"/>
          <w:b/>
          <w:bCs/>
          <w:sz w:val="36"/>
          <w:szCs w:val="36"/>
          <w:lang w:val="en"/>
        </w:rPr>
      </w:pPr>
      <w:hyperlink r:id="rId23" w:history="1">
        <w:r w:rsidR="003F1F8D" w:rsidRPr="003F1F8D">
          <w:rPr>
            <w:rFonts w:ascii="Times New Roman" w:eastAsia="Times New Roman" w:hAnsi="Times New Roman" w:cs="Times New Roman"/>
            <w:b/>
            <w:bCs/>
            <w:color w:val="660000"/>
            <w:sz w:val="36"/>
            <w:szCs w:val="36"/>
            <w:lang w:val="en"/>
          </w:rPr>
          <w:t>Sign In to WRDS</w:t>
        </w:r>
      </w:hyperlink>
    </w:p>
    <w:p w:rsidR="003F1F8D" w:rsidRPr="003F1F8D" w:rsidRDefault="005B0AA8" w:rsidP="003F1F8D">
      <w:pPr>
        <w:spacing w:after="0" w:line="240" w:lineRule="auto"/>
        <w:rPr>
          <w:rFonts w:ascii="Times New Roman" w:eastAsia="Times New Roman" w:hAnsi="Times New Roman" w:cs="Times New Roman"/>
          <w:sz w:val="24"/>
          <w:szCs w:val="24"/>
          <w:lang w:val="en"/>
        </w:rPr>
      </w:pPr>
      <w:hyperlink r:id="rId24" w:history="1">
        <w:r w:rsidR="003F1F8D" w:rsidRPr="003F1F8D">
          <w:rPr>
            <w:rFonts w:ascii="Times New Roman" w:eastAsia="Times New Roman" w:hAnsi="Times New Roman" w:cs="Times New Roman"/>
            <w:color w:val="0000FF"/>
            <w:sz w:val="24"/>
            <w:szCs w:val="24"/>
            <w:u w:val="single"/>
            <w:lang w:val="en"/>
          </w:rPr>
          <w:t>Sign In</w:t>
        </w:r>
      </w:hyperlink>
      <w:r w:rsidR="003F1F8D" w:rsidRPr="003F1F8D">
        <w:rPr>
          <w:rFonts w:ascii="Times New Roman" w:eastAsia="Times New Roman" w:hAnsi="Times New Roman" w:cs="Times New Roman"/>
          <w:sz w:val="24"/>
          <w:szCs w:val="24"/>
          <w:lang w:val="en"/>
        </w:rPr>
        <w:t xml:space="preserve"> </w:t>
      </w:r>
    </w:p>
    <w:p w:rsidR="003F1F8D" w:rsidRPr="003F1F8D" w:rsidRDefault="003F1F8D" w:rsidP="003F1F8D">
      <w:pPr>
        <w:spacing w:before="100" w:beforeAutospacing="1" w:after="100" w:afterAutospacing="1" w:line="240" w:lineRule="auto"/>
        <w:rPr>
          <w:rFonts w:ascii="Times New Roman" w:eastAsia="Times New Roman" w:hAnsi="Times New Roman" w:cs="Times New Roman"/>
          <w:sz w:val="24"/>
          <w:szCs w:val="24"/>
          <w:lang w:val="en"/>
        </w:rPr>
      </w:pPr>
      <w:r w:rsidRPr="003F1F8D">
        <w:rPr>
          <w:rFonts w:ascii="Times New Roman" w:eastAsia="Times New Roman" w:hAnsi="Times New Roman" w:cs="Times New Roman"/>
          <w:sz w:val="24"/>
          <w:szCs w:val="24"/>
          <w:lang w:val="en"/>
        </w:rPr>
        <w:t xml:space="preserve">Unless otherwise noted, all material is © 1993-2014, The Wharton School, University of Pennsylvania. All rights reserved. [ </w:t>
      </w:r>
      <w:hyperlink r:id="rId25" w:history="1">
        <w:r w:rsidRPr="003F1F8D">
          <w:rPr>
            <w:rFonts w:ascii="Times New Roman" w:eastAsia="Times New Roman" w:hAnsi="Times New Roman" w:cs="Times New Roman"/>
            <w:color w:val="0000FF"/>
            <w:sz w:val="24"/>
            <w:szCs w:val="24"/>
            <w:u w:val="single"/>
            <w:lang w:val="en"/>
          </w:rPr>
          <w:t>Terms of Use / Privacy Policy</w:t>
        </w:r>
      </w:hyperlink>
      <w:r w:rsidRPr="003F1F8D">
        <w:rPr>
          <w:rFonts w:ascii="Times New Roman" w:eastAsia="Times New Roman" w:hAnsi="Times New Roman" w:cs="Times New Roman"/>
          <w:sz w:val="24"/>
          <w:szCs w:val="24"/>
          <w:lang w:val="en"/>
        </w:rPr>
        <w:t xml:space="preserve"> ]</w:t>
      </w:r>
    </w:p>
    <w:p w:rsidR="00B87EAD" w:rsidRDefault="00B87EAD"/>
    <w:sectPr w:rsidR="00B87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41642"/>
    <w:multiLevelType w:val="multilevel"/>
    <w:tmpl w:val="321C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8D"/>
    <w:rsid w:val="003F1F8D"/>
    <w:rsid w:val="005B0AA8"/>
    <w:rsid w:val="00B87EAD"/>
    <w:rsid w:val="00DD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1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F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1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F8D"/>
    <w:rPr>
      <w:color w:val="0000FF"/>
      <w:u w:val="single"/>
    </w:rPr>
  </w:style>
  <w:style w:type="character" w:styleId="Emphasis">
    <w:name w:val="Emphasis"/>
    <w:basedOn w:val="DefaultParagraphFont"/>
    <w:uiPriority w:val="20"/>
    <w:qFormat/>
    <w:rsid w:val="003F1F8D"/>
    <w:rPr>
      <w:i/>
      <w:iCs/>
    </w:rPr>
  </w:style>
  <w:style w:type="character" w:styleId="HTMLCode">
    <w:name w:val="HTML Code"/>
    <w:basedOn w:val="DefaultParagraphFont"/>
    <w:uiPriority w:val="99"/>
    <w:semiHidden/>
    <w:unhideWhenUsed/>
    <w:rsid w:val="003F1F8D"/>
    <w:rPr>
      <w:rFonts w:ascii="Courier New" w:eastAsia="Times New Roman" w:hAnsi="Courier New" w:cs="Courier New"/>
      <w:sz w:val="20"/>
      <w:szCs w:val="20"/>
    </w:rPr>
  </w:style>
  <w:style w:type="character" w:styleId="Strong">
    <w:name w:val="Strong"/>
    <w:basedOn w:val="DefaultParagraphFont"/>
    <w:uiPriority w:val="22"/>
    <w:qFormat/>
    <w:rsid w:val="003F1F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1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F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1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F8D"/>
    <w:rPr>
      <w:color w:val="0000FF"/>
      <w:u w:val="single"/>
    </w:rPr>
  </w:style>
  <w:style w:type="character" w:styleId="Emphasis">
    <w:name w:val="Emphasis"/>
    <w:basedOn w:val="DefaultParagraphFont"/>
    <w:uiPriority w:val="20"/>
    <w:qFormat/>
    <w:rsid w:val="003F1F8D"/>
    <w:rPr>
      <w:i/>
      <w:iCs/>
    </w:rPr>
  </w:style>
  <w:style w:type="character" w:styleId="HTMLCode">
    <w:name w:val="HTML Code"/>
    <w:basedOn w:val="DefaultParagraphFont"/>
    <w:uiPriority w:val="99"/>
    <w:semiHidden/>
    <w:unhideWhenUsed/>
    <w:rsid w:val="003F1F8D"/>
    <w:rPr>
      <w:rFonts w:ascii="Courier New" w:eastAsia="Times New Roman" w:hAnsi="Courier New" w:cs="Courier New"/>
      <w:sz w:val="20"/>
      <w:szCs w:val="20"/>
    </w:rPr>
  </w:style>
  <w:style w:type="character" w:styleId="Strong">
    <w:name w:val="Strong"/>
    <w:basedOn w:val="DefaultParagraphFont"/>
    <w:uiPriority w:val="22"/>
    <w:qFormat/>
    <w:rsid w:val="003F1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09114">
      <w:bodyDiv w:val="1"/>
      <w:marLeft w:val="0"/>
      <w:marRight w:val="0"/>
      <w:marTop w:val="0"/>
      <w:marBottom w:val="0"/>
      <w:divBdr>
        <w:top w:val="none" w:sz="0" w:space="0" w:color="auto"/>
        <w:left w:val="none" w:sz="0" w:space="0" w:color="auto"/>
        <w:bottom w:val="none" w:sz="0" w:space="0" w:color="auto"/>
        <w:right w:val="none" w:sz="0" w:space="0" w:color="auto"/>
      </w:divBdr>
      <w:divsChild>
        <w:div w:id="1518423451">
          <w:marLeft w:val="0"/>
          <w:marRight w:val="0"/>
          <w:marTop w:val="0"/>
          <w:marBottom w:val="0"/>
          <w:divBdr>
            <w:top w:val="none" w:sz="0" w:space="0" w:color="auto"/>
            <w:left w:val="none" w:sz="0" w:space="0" w:color="auto"/>
            <w:bottom w:val="none" w:sz="0" w:space="0" w:color="auto"/>
            <w:right w:val="none" w:sz="0" w:space="0" w:color="auto"/>
          </w:divBdr>
          <w:divsChild>
            <w:div w:id="1324311498">
              <w:marLeft w:val="0"/>
              <w:marRight w:val="0"/>
              <w:marTop w:val="0"/>
              <w:marBottom w:val="0"/>
              <w:divBdr>
                <w:top w:val="none" w:sz="0" w:space="0" w:color="auto"/>
                <w:left w:val="none" w:sz="0" w:space="0" w:color="auto"/>
                <w:bottom w:val="none" w:sz="0" w:space="0" w:color="auto"/>
                <w:right w:val="none" w:sz="0" w:space="0" w:color="auto"/>
              </w:divBdr>
              <w:divsChild>
                <w:div w:id="318847025">
                  <w:marLeft w:val="0"/>
                  <w:marRight w:val="0"/>
                  <w:marTop w:val="0"/>
                  <w:marBottom w:val="0"/>
                  <w:divBdr>
                    <w:top w:val="none" w:sz="0" w:space="0" w:color="auto"/>
                    <w:left w:val="none" w:sz="0" w:space="0" w:color="auto"/>
                    <w:bottom w:val="none" w:sz="0" w:space="0" w:color="auto"/>
                    <w:right w:val="none" w:sz="0" w:space="0" w:color="auto"/>
                  </w:divBdr>
                </w:div>
              </w:divsChild>
            </w:div>
            <w:div w:id="1269968489">
              <w:marLeft w:val="0"/>
              <w:marRight w:val="0"/>
              <w:marTop w:val="0"/>
              <w:marBottom w:val="0"/>
              <w:divBdr>
                <w:top w:val="none" w:sz="0" w:space="0" w:color="auto"/>
                <w:left w:val="none" w:sz="0" w:space="0" w:color="auto"/>
                <w:bottom w:val="none" w:sz="0" w:space="0" w:color="auto"/>
                <w:right w:val="none" w:sz="0" w:space="0" w:color="auto"/>
              </w:divBdr>
            </w:div>
            <w:div w:id="1881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ds-web.wharton.upenn.edu/wrds/about/What%20is%20WRDS.cfm" TargetMode="External"/><Relationship Id="rId13" Type="http://schemas.openxmlformats.org/officeDocument/2006/relationships/hyperlink" Target="http://wrds-web.wharton.upenn.edu/wrds/demo/" TargetMode="External"/><Relationship Id="rId18" Type="http://schemas.openxmlformats.org/officeDocument/2006/relationships/hyperlink" Target="http://wrds-web.wharton.upenn.edu/wrds/about/bestpaper.cf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javascript:showMe('http://www.wharton.upenn.edu/',%20960,%20750,%201,%201)" TargetMode="External"/><Relationship Id="rId7" Type="http://schemas.openxmlformats.org/officeDocument/2006/relationships/hyperlink" Target="http://wrds-web.wharton.upenn.edu/wrds/about/index.cfm" TargetMode="External"/><Relationship Id="rId12" Type="http://schemas.openxmlformats.org/officeDocument/2006/relationships/hyperlink" Target="http://wrds-web.wharton.upenn.edu/wrds/about/Account%20Types.cfm" TargetMode="External"/><Relationship Id="rId17" Type="http://schemas.openxmlformats.org/officeDocument/2006/relationships/hyperlink" Target="http://wrds-web.wharton.upenn.edu/wrds/about/WRDS%20Media%20News.cfm" TargetMode="External"/><Relationship Id="rId25" Type="http://schemas.openxmlformats.org/officeDocument/2006/relationships/hyperlink" Target="http://wrds-web.wharton.upenn.edu/wrds/mywrds/tou.cfm" TargetMode="External"/><Relationship Id="rId2" Type="http://schemas.openxmlformats.org/officeDocument/2006/relationships/styles" Target="styles.xml"/><Relationship Id="rId16" Type="http://schemas.openxmlformats.org/officeDocument/2006/relationships/hyperlink" Target="http://wrds-web.wharton.upenn.edu/wrds/about/User%20Conference.cfm" TargetMode="External"/><Relationship Id="rId20" Type="http://schemas.openxmlformats.org/officeDocument/2006/relationships/hyperlink" Target="http://wrds-web.wharton.upenn.edu/wrds/about/privacy.cfm" TargetMode="External"/><Relationship Id="rId1" Type="http://schemas.openxmlformats.org/officeDocument/2006/relationships/numbering" Target="numbering.xml"/><Relationship Id="rId6" Type="http://schemas.openxmlformats.org/officeDocument/2006/relationships/hyperlink" Target="mailto:wrds-support@wharton.upenn.edu" TargetMode="External"/><Relationship Id="rId11" Type="http://schemas.openxmlformats.org/officeDocument/2006/relationships/hyperlink" Target="http://wrds-web.wharton.upenn.edu/wrds/about/googlemap.cfm" TargetMode="External"/><Relationship Id="rId24" Type="http://schemas.openxmlformats.org/officeDocument/2006/relationships/hyperlink" Target="http://wrds-web.wharton.upenn.edu/wrds/index.cfm" TargetMode="External"/><Relationship Id="rId5" Type="http://schemas.openxmlformats.org/officeDocument/2006/relationships/webSettings" Target="webSettings.xml"/><Relationship Id="rId15" Type="http://schemas.openxmlformats.org/officeDocument/2006/relationships/hyperlink" Target="http://wrds-web.wharton.upenn.edu/wrds/about/Conference%20Calendar.cfm" TargetMode="External"/><Relationship Id="rId23" Type="http://schemas.openxmlformats.org/officeDocument/2006/relationships/hyperlink" Target="http://wrds-web.wharton.upenn.edu/wrds/index.cfm" TargetMode="External"/><Relationship Id="rId10" Type="http://schemas.openxmlformats.org/officeDocument/2006/relationships/hyperlink" Target="http://wrds-web.wharton.upenn.edu/wrds/about/subscribers.cfm" TargetMode="External"/><Relationship Id="rId19" Type="http://schemas.openxmlformats.org/officeDocument/2006/relationships/hyperlink" Target="http://wrds-web.wharton.upenn.edu/wrds/about/terms.cfm" TargetMode="External"/><Relationship Id="rId4" Type="http://schemas.openxmlformats.org/officeDocument/2006/relationships/settings" Target="settings.xml"/><Relationship Id="rId9" Type="http://schemas.openxmlformats.org/officeDocument/2006/relationships/hyperlink" Target="http://wrds-web.wharton.upenn.edu/wrds/about/WRDS%20FAQs.cfm" TargetMode="External"/><Relationship Id="rId14" Type="http://schemas.openxmlformats.org/officeDocument/2006/relationships/hyperlink" Target="http://wrds-web.wharton.upenn.edu/wrds/about/Dr_Goodnight.cfm" TargetMode="External"/><Relationship Id="rId22" Type="http://schemas.openxmlformats.org/officeDocument/2006/relationships/hyperlink" Target="http://wrds-web.wharton.upenn.edu/wrds/about/external_support_request.cf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Ann Walls</dc:creator>
  <cp:lastModifiedBy>wesmith</cp:lastModifiedBy>
  <cp:revision>2</cp:revision>
  <dcterms:created xsi:type="dcterms:W3CDTF">2014-02-24T17:17:00Z</dcterms:created>
  <dcterms:modified xsi:type="dcterms:W3CDTF">2014-02-24T17:17:00Z</dcterms:modified>
</cp:coreProperties>
</file>